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21181FCF"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D20984" w:rsidRPr="00D20984">
        <w:rPr>
          <w:rFonts w:ascii="Times New Roman" w:eastAsia="Calibri" w:hAnsi="Times New Roman"/>
          <w:color w:val="auto"/>
          <w:sz w:val="24"/>
          <w:szCs w:val="24"/>
          <w:u w:val="single"/>
          <w:lang w:eastAsia="en-US"/>
        </w:rPr>
        <w:t xml:space="preserve">по организации </w:t>
      </w:r>
      <w:r w:rsidR="00C6048E">
        <w:rPr>
          <w:rFonts w:ascii="Times New Roman" w:eastAsia="Calibri" w:hAnsi="Times New Roman"/>
          <w:color w:val="auto"/>
          <w:sz w:val="24"/>
          <w:szCs w:val="24"/>
          <w:u w:val="single"/>
          <w:lang w:eastAsia="en-US"/>
        </w:rPr>
        <w:t>форума «Ярмарка локальных брендов. Сделано в Луганске»</w:t>
      </w:r>
      <w:r w:rsidR="00D20984" w:rsidRPr="00D20984">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137BEFA2"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D20984" w:rsidRPr="00D20984">
        <w:rPr>
          <w:rFonts w:ascii="Times New Roman" w:eastAsia="Calibri" w:hAnsi="Times New Roman"/>
          <w:sz w:val="24"/>
          <w:szCs w:val="24"/>
        </w:rPr>
        <w:t xml:space="preserve">Услуга по </w:t>
      </w:r>
      <w:r w:rsidR="00C6048E">
        <w:rPr>
          <w:rFonts w:ascii="Times New Roman" w:eastAsia="Calibri" w:hAnsi="Times New Roman"/>
          <w:sz w:val="24"/>
          <w:szCs w:val="24"/>
        </w:rPr>
        <w:t xml:space="preserve">организации </w:t>
      </w:r>
      <w:r w:rsidR="00C6048E" w:rsidRPr="00C6048E">
        <w:rPr>
          <w:rFonts w:ascii="Times New Roman" w:eastAsia="Calibri" w:hAnsi="Times New Roman"/>
          <w:sz w:val="24"/>
          <w:szCs w:val="24"/>
        </w:rPr>
        <w:t>форума «Ярмарка локальных брендов. Сделано в Луганске»</w:t>
      </w:r>
      <w:r w:rsidR="00D20984" w:rsidRPr="00D20984">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2B1D88"/>
    <w:rsid w:val="00326B21"/>
    <w:rsid w:val="00462970"/>
    <w:rsid w:val="004D50A0"/>
    <w:rsid w:val="004E45C0"/>
    <w:rsid w:val="005348D6"/>
    <w:rsid w:val="00582A98"/>
    <w:rsid w:val="00823059"/>
    <w:rsid w:val="0082505F"/>
    <w:rsid w:val="008B73A7"/>
    <w:rsid w:val="008F02B0"/>
    <w:rsid w:val="00B658A0"/>
    <w:rsid w:val="00C6048E"/>
    <w:rsid w:val="00CC6052"/>
    <w:rsid w:val="00D20984"/>
    <w:rsid w:val="00D211CB"/>
    <w:rsid w:val="00E97DC1"/>
    <w:rsid w:val="00F26BFB"/>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4</cp:revision>
  <dcterms:created xsi:type="dcterms:W3CDTF">2025-10-09T11:04:00Z</dcterms:created>
  <dcterms:modified xsi:type="dcterms:W3CDTF">2025-10-21T08:25:00Z</dcterms:modified>
</cp:coreProperties>
</file>